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2B47" w14:textId="77777777" w:rsidR="002979AA" w:rsidRPr="002979AA" w:rsidRDefault="002979AA" w:rsidP="002979A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979AA">
        <w:rPr>
          <w:rFonts w:ascii="Arial" w:hAnsi="Arial" w:cs="Arial"/>
          <w:b/>
          <w:color w:val="4F81BD" w:themeColor="accent1"/>
          <w:sz w:val="32"/>
          <w:szCs w:val="32"/>
        </w:rPr>
        <w:t>The BRIC Study</w:t>
      </w:r>
      <w:r w:rsidRPr="002979AA">
        <w:rPr>
          <w:rFonts w:ascii="Arial" w:hAnsi="Arial" w:cs="Arial"/>
          <w:b/>
          <w:sz w:val="32"/>
          <w:szCs w:val="32"/>
        </w:rPr>
        <w:t xml:space="preserve"> - </w:t>
      </w:r>
      <w:r w:rsidRPr="002979AA">
        <w:rPr>
          <w:rFonts w:ascii="Arial" w:hAnsi="Arial" w:cs="Arial"/>
          <w:b/>
          <w:color w:val="4F81BD" w:themeColor="accent1"/>
          <w:sz w:val="36"/>
          <w:szCs w:val="36"/>
        </w:rPr>
        <w:t>B</w:t>
      </w:r>
      <w:r w:rsidRPr="002979AA">
        <w:rPr>
          <w:rFonts w:ascii="Arial" w:hAnsi="Arial" w:cs="Arial"/>
          <w:b/>
          <w:sz w:val="32"/>
          <w:szCs w:val="32"/>
        </w:rPr>
        <w:t xml:space="preserve">iomarkers and </w:t>
      </w:r>
      <w:r w:rsidRPr="002979AA">
        <w:rPr>
          <w:rFonts w:ascii="Arial" w:hAnsi="Arial" w:cs="Arial"/>
          <w:b/>
          <w:color w:val="4F81BD" w:themeColor="accent1"/>
          <w:sz w:val="36"/>
          <w:szCs w:val="36"/>
        </w:rPr>
        <w:t>R</w:t>
      </w:r>
      <w:r w:rsidRPr="002979AA">
        <w:rPr>
          <w:rFonts w:ascii="Arial" w:hAnsi="Arial" w:cs="Arial"/>
          <w:b/>
          <w:sz w:val="32"/>
          <w:szCs w:val="32"/>
        </w:rPr>
        <w:t xml:space="preserve">enal Patients </w:t>
      </w:r>
      <w:r w:rsidRPr="002979AA">
        <w:rPr>
          <w:rFonts w:ascii="Arial" w:hAnsi="Arial" w:cs="Arial"/>
          <w:b/>
          <w:color w:val="4F81BD" w:themeColor="accent1"/>
          <w:sz w:val="36"/>
          <w:szCs w:val="36"/>
        </w:rPr>
        <w:t>i</w:t>
      </w:r>
      <w:r w:rsidRPr="002979AA">
        <w:rPr>
          <w:rFonts w:ascii="Arial" w:hAnsi="Arial" w:cs="Arial"/>
          <w:b/>
          <w:sz w:val="32"/>
          <w:szCs w:val="32"/>
        </w:rPr>
        <w:t xml:space="preserve">n </w:t>
      </w:r>
      <w:r w:rsidRPr="002979AA">
        <w:rPr>
          <w:rFonts w:ascii="Arial" w:hAnsi="Arial" w:cs="Arial"/>
          <w:b/>
          <w:color w:val="4F81BD" w:themeColor="accent1"/>
          <w:sz w:val="36"/>
          <w:szCs w:val="36"/>
        </w:rPr>
        <w:t>C</w:t>
      </w:r>
      <w:r w:rsidRPr="002979AA">
        <w:rPr>
          <w:rFonts w:ascii="Arial" w:hAnsi="Arial" w:cs="Arial"/>
          <w:b/>
          <w:sz w:val="32"/>
          <w:szCs w:val="32"/>
        </w:rPr>
        <w:t>ovid</w:t>
      </w:r>
    </w:p>
    <w:p w14:paraId="61510E05" w14:textId="77777777" w:rsidR="002979AA" w:rsidRDefault="002979AA" w:rsidP="001206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D93BDBD" w14:textId="4B5B1E0B" w:rsidR="00120672" w:rsidRPr="002979AA" w:rsidRDefault="00120672" w:rsidP="00120672">
      <w:pPr>
        <w:spacing w:after="0" w:line="240" w:lineRule="auto"/>
        <w:rPr>
          <w:rFonts w:ascii="Arial" w:hAnsi="Arial" w:cs="Arial"/>
          <w:b/>
          <w:color w:val="4F81BD" w:themeColor="accent1"/>
          <w:sz w:val="28"/>
          <w:szCs w:val="28"/>
        </w:rPr>
      </w:pPr>
      <w:r w:rsidRPr="002979AA">
        <w:rPr>
          <w:rFonts w:ascii="Arial" w:hAnsi="Arial" w:cs="Arial"/>
          <w:b/>
          <w:color w:val="4F81BD" w:themeColor="accent1"/>
          <w:sz w:val="28"/>
          <w:szCs w:val="28"/>
        </w:rPr>
        <w:t xml:space="preserve">Biomarkers to predict outcomes and improve survival in patients with </w:t>
      </w:r>
      <w:r w:rsidR="00CF25EA">
        <w:rPr>
          <w:rFonts w:ascii="Arial" w:hAnsi="Arial" w:cs="Arial"/>
          <w:b/>
          <w:color w:val="4F81BD" w:themeColor="accent1"/>
          <w:sz w:val="28"/>
          <w:szCs w:val="28"/>
        </w:rPr>
        <w:t>renal replacement therapy</w:t>
      </w:r>
      <w:r w:rsidRPr="002979AA">
        <w:rPr>
          <w:rFonts w:ascii="Arial" w:hAnsi="Arial" w:cs="Arial"/>
          <w:b/>
          <w:color w:val="4F81BD" w:themeColor="accent1"/>
          <w:sz w:val="28"/>
          <w:szCs w:val="28"/>
        </w:rPr>
        <w:t xml:space="preserve"> and COVID-19</w:t>
      </w:r>
    </w:p>
    <w:p w14:paraId="27E2F964" w14:textId="77777777" w:rsidR="0051782F" w:rsidRPr="00630ED4" w:rsidRDefault="0051782F" w:rsidP="0012067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9864360" w14:textId="77777777" w:rsidR="0051782F" w:rsidRPr="00E61ABC" w:rsidRDefault="00E61ABC" w:rsidP="00120672">
      <w:pPr>
        <w:spacing w:after="0" w:line="240" w:lineRule="auto"/>
        <w:rPr>
          <w:rFonts w:ascii="Arial" w:hAnsi="Arial" w:cs="Arial"/>
          <w:b/>
        </w:rPr>
      </w:pPr>
      <w:r w:rsidRPr="00E61ABC">
        <w:rPr>
          <w:rFonts w:ascii="Arial" w:hAnsi="Arial" w:cs="Arial"/>
          <w:b/>
        </w:rPr>
        <w:t xml:space="preserve">Project leads: </w:t>
      </w:r>
      <w:r w:rsidR="0051782F" w:rsidRPr="00E61ABC">
        <w:rPr>
          <w:rFonts w:ascii="Arial" w:hAnsi="Arial" w:cs="Arial"/>
          <w:b/>
        </w:rPr>
        <w:t>Sushma Shankar</w:t>
      </w:r>
      <w:r>
        <w:rPr>
          <w:rFonts w:ascii="Arial" w:hAnsi="Arial" w:cs="Arial"/>
          <w:b/>
        </w:rPr>
        <w:t xml:space="preserve"> (Oxford)</w:t>
      </w:r>
      <w:r w:rsidR="0051782F" w:rsidRPr="00E61ABC">
        <w:rPr>
          <w:rFonts w:ascii="Arial" w:hAnsi="Arial" w:cs="Arial"/>
          <w:b/>
        </w:rPr>
        <w:t xml:space="preserve"> &amp; Peter Friend</w:t>
      </w:r>
      <w:r>
        <w:rPr>
          <w:rFonts w:ascii="Arial" w:hAnsi="Arial" w:cs="Arial"/>
          <w:b/>
        </w:rPr>
        <w:t xml:space="preserve"> (Oxford)</w:t>
      </w:r>
    </w:p>
    <w:p w14:paraId="3ED38FBE" w14:textId="77777777" w:rsidR="00120672" w:rsidRPr="00630ED4" w:rsidRDefault="00120672" w:rsidP="0012067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en-US"/>
        </w:rPr>
      </w:pPr>
    </w:p>
    <w:p w14:paraId="553E4C01" w14:textId="77777777" w:rsidR="00120672" w:rsidRDefault="00120672" w:rsidP="00120672">
      <w:pPr>
        <w:spacing w:before="60" w:after="60" w:line="240" w:lineRule="auto"/>
        <w:rPr>
          <w:rFonts w:ascii="Arial" w:eastAsia="Times New Roman" w:hAnsi="Arial" w:cs="Arial"/>
          <w:b/>
          <w:shd w:val="clear" w:color="auto" w:fill="FFFFFF"/>
          <w:lang w:eastAsia="en-US"/>
        </w:rPr>
      </w:pPr>
      <w:r w:rsidRPr="004C751E">
        <w:rPr>
          <w:rFonts w:ascii="Arial" w:eastAsia="Times New Roman" w:hAnsi="Arial" w:cs="Arial"/>
          <w:b/>
          <w:shd w:val="clear" w:color="auto" w:fill="FFFFFF"/>
          <w:lang w:eastAsia="en-US"/>
        </w:rPr>
        <w:t>Background</w:t>
      </w:r>
    </w:p>
    <w:p w14:paraId="51F6B65A" w14:textId="77777777" w:rsidR="00120672" w:rsidRPr="00E4269F" w:rsidRDefault="00E102B0" w:rsidP="0012067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There is an urgent need to understand how patients </w:t>
      </w:r>
      <w:r w:rsidR="0058663C">
        <w:rPr>
          <w:rFonts w:ascii="Arial" w:hAnsi="Arial" w:cs="Arial"/>
        </w:rPr>
        <w:t xml:space="preserve">with </w:t>
      </w:r>
      <w:r w:rsidR="00E61ABC" w:rsidRPr="00E4269F">
        <w:rPr>
          <w:rFonts w:ascii="Arial" w:hAnsi="Arial" w:cs="Arial"/>
        </w:rPr>
        <w:t xml:space="preserve">end-stage renal failure </w:t>
      </w:r>
      <w:r w:rsidR="00E61ABC">
        <w:rPr>
          <w:rFonts w:ascii="Arial" w:hAnsi="Arial" w:cs="Arial"/>
        </w:rPr>
        <w:t>(</w:t>
      </w:r>
      <w:r w:rsidR="0058663C">
        <w:rPr>
          <w:rFonts w:ascii="Arial" w:hAnsi="Arial" w:cs="Arial"/>
        </w:rPr>
        <w:t>ESRF</w:t>
      </w:r>
      <w:r w:rsidR="00E61ABC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and</w:t>
      </w:r>
      <w:r w:rsidR="00E61ABC">
        <w:rPr>
          <w:rFonts w:ascii="Arial" w:hAnsi="Arial" w:cs="Arial"/>
        </w:rPr>
        <w:t xml:space="preserve"> </w:t>
      </w:r>
      <w:r w:rsidR="00E61ABC" w:rsidRPr="00E4269F">
        <w:rPr>
          <w:rFonts w:ascii="Arial" w:hAnsi="Arial" w:cs="Arial"/>
        </w:rPr>
        <w:t>renal replacement therapy (RRT)</w:t>
      </w:r>
      <w:r>
        <w:rPr>
          <w:rFonts w:ascii="Arial" w:hAnsi="Arial" w:cs="Arial"/>
        </w:rPr>
        <w:t>,</w:t>
      </w:r>
      <w:r w:rsidR="00E61ABC" w:rsidRPr="00E4269F">
        <w:rPr>
          <w:rFonts w:ascii="Arial" w:hAnsi="Arial" w:cs="Arial"/>
        </w:rPr>
        <w:t xml:space="preserve"> such as renal transplantation</w:t>
      </w:r>
      <w:r w:rsidR="00E61ABC">
        <w:rPr>
          <w:rFonts w:ascii="Arial" w:hAnsi="Arial" w:cs="Arial"/>
        </w:rPr>
        <w:t xml:space="preserve"> or haemodialysis</w:t>
      </w:r>
      <w:r w:rsidR="0058663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respond to COVID-19 infection. These vulnerable patients </w:t>
      </w:r>
      <w:r w:rsidR="00120672" w:rsidRPr="00E4269F">
        <w:rPr>
          <w:rFonts w:ascii="Arial" w:hAnsi="Arial" w:cs="Arial"/>
        </w:rPr>
        <w:t xml:space="preserve">have substantially higher mortality rates </w:t>
      </w:r>
      <w:r>
        <w:rPr>
          <w:rFonts w:ascii="Arial" w:hAnsi="Arial" w:cs="Arial"/>
        </w:rPr>
        <w:t xml:space="preserve">from COVID-19 </w:t>
      </w:r>
      <w:r w:rsidR="00120672" w:rsidRPr="00E4269F">
        <w:rPr>
          <w:rFonts w:ascii="Arial" w:hAnsi="Arial" w:cs="Arial"/>
        </w:rPr>
        <w:t xml:space="preserve">than </w:t>
      </w:r>
      <w:r w:rsidR="00E61ABC">
        <w:rPr>
          <w:rFonts w:ascii="Arial" w:hAnsi="Arial" w:cs="Arial"/>
        </w:rPr>
        <w:t>the general population</w:t>
      </w:r>
      <w:r w:rsidR="00120672" w:rsidRPr="00E4269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</w:t>
      </w:r>
      <w:r w:rsidR="0058663C">
        <w:rPr>
          <w:rFonts w:ascii="Arial" w:hAnsi="Arial" w:cs="Arial"/>
        </w:rPr>
        <w:t>t is not clear why some patients recover better than others.</w:t>
      </w:r>
      <w:r>
        <w:rPr>
          <w:rFonts w:ascii="Arial" w:hAnsi="Arial" w:cs="Arial"/>
        </w:rPr>
        <w:t xml:space="preserve"> Nor is it certain how best to tailor treatment and immunosuppressive regimens during infection.</w:t>
      </w:r>
      <w:r w:rsidR="0058663C">
        <w:rPr>
          <w:rFonts w:ascii="Arial" w:hAnsi="Arial" w:cs="Arial"/>
        </w:rPr>
        <w:t xml:space="preserve"> </w:t>
      </w:r>
      <w:r w:rsidR="00120672" w:rsidRPr="00E4269F">
        <w:rPr>
          <w:rFonts w:ascii="Arial" w:hAnsi="Arial" w:cs="Arial"/>
        </w:rPr>
        <w:t>Preliminary studies indicate that pro</w:t>
      </w:r>
      <w:r w:rsidR="0058663C">
        <w:rPr>
          <w:rFonts w:ascii="Arial" w:hAnsi="Arial" w:cs="Arial"/>
        </w:rPr>
        <w:t>-inflammatory cytokines in peripheral</w:t>
      </w:r>
      <w:r w:rsidR="00120672" w:rsidRPr="00E4269F">
        <w:rPr>
          <w:rFonts w:ascii="Arial" w:hAnsi="Arial" w:cs="Arial"/>
        </w:rPr>
        <w:t xml:space="preserve"> blood may be associated with increased ITU admission</w:t>
      </w:r>
      <w:r w:rsidR="0051782F">
        <w:rPr>
          <w:rFonts w:ascii="Arial" w:hAnsi="Arial" w:cs="Arial"/>
        </w:rPr>
        <w:t xml:space="preserve"> and mortality</w:t>
      </w:r>
      <w:r w:rsidR="00120672" w:rsidRPr="00E4269F">
        <w:rPr>
          <w:rFonts w:ascii="Arial" w:hAnsi="Arial" w:cs="Arial"/>
        </w:rPr>
        <w:t>.</w:t>
      </w:r>
    </w:p>
    <w:p w14:paraId="00BE7B6F" w14:textId="77777777" w:rsidR="00120672" w:rsidRPr="00D31891" w:rsidRDefault="00E102B0" w:rsidP="00120672">
      <w:pPr>
        <w:spacing w:before="60" w:after="6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Aims</w:t>
      </w:r>
    </w:p>
    <w:p w14:paraId="2691F18C" w14:textId="77777777" w:rsidR="0051782F" w:rsidRDefault="00120672" w:rsidP="0012067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project aims to </w:t>
      </w:r>
      <w:r w:rsidRPr="00D31891">
        <w:rPr>
          <w:rFonts w:ascii="Arial" w:hAnsi="Arial" w:cs="Arial"/>
        </w:rPr>
        <w:t>identify biomarkers</w:t>
      </w:r>
      <w:r>
        <w:rPr>
          <w:rFonts w:ascii="Arial" w:hAnsi="Arial" w:cs="Arial"/>
        </w:rPr>
        <w:t xml:space="preserve"> in peripheral blood</w:t>
      </w:r>
      <w:r w:rsidRPr="00D31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that</w:t>
      </w:r>
      <w:r w:rsidRPr="00D31891">
        <w:rPr>
          <w:rFonts w:ascii="Arial" w:hAnsi="Arial" w:cs="Arial"/>
        </w:rPr>
        <w:t xml:space="preserve"> can be associated</w:t>
      </w:r>
      <w:r>
        <w:rPr>
          <w:rFonts w:ascii="Arial" w:hAnsi="Arial" w:cs="Arial"/>
        </w:rPr>
        <w:t xml:space="preserve"> with clinical outcomes in patients with ESRF who either have a renal transplant or haemodialysis as their RRT</w:t>
      </w:r>
      <w:r w:rsidRPr="00D31891">
        <w:rPr>
          <w:rFonts w:ascii="Arial" w:hAnsi="Arial" w:cs="Arial"/>
        </w:rPr>
        <w:t>, in comparison to COVID-19</w:t>
      </w:r>
      <w:r>
        <w:rPr>
          <w:rFonts w:ascii="Arial" w:hAnsi="Arial" w:cs="Arial"/>
        </w:rPr>
        <w:t>-positive</w:t>
      </w:r>
      <w:r w:rsidRPr="00D31891">
        <w:rPr>
          <w:rFonts w:ascii="Arial" w:hAnsi="Arial" w:cs="Arial"/>
        </w:rPr>
        <w:t xml:space="preserve"> patients without these underlying health conditions.</w:t>
      </w:r>
      <w:r w:rsidRPr="00D31891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Such biomarkers may help us und</w:t>
      </w:r>
      <w:r w:rsidR="0051782F">
        <w:rPr>
          <w:rFonts w:ascii="Arial" w:hAnsi="Arial" w:cs="Arial"/>
        </w:rPr>
        <w:t xml:space="preserve">erstand why </w:t>
      </w:r>
      <w:r w:rsidR="0058663C">
        <w:rPr>
          <w:rFonts w:ascii="Arial" w:hAnsi="Arial" w:cs="Arial"/>
        </w:rPr>
        <w:t xml:space="preserve">some </w:t>
      </w:r>
      <w:r w:rsidR="0051782F">
        <w:rPr>
          <w:rFonts w:ascii="Arial" w:hAnsi="Arial" w:cs="Arial"/>
        </w:rPr>
        <w:t>ESRF patients with RRT</w:t>
      </w:r>
      <w:r w:rsidR="00E102B0">
        <w:rPr>
          <w:rFonts w:ascii="Arial" w:hAnsi="Arial" w:cs="Arial"/>
        </w:rPr>
        <w:t xml:space="preserve"> have extremely</w:t>
      </w:r>
      <w:r>
        <w:rPr>
          <w:rFonts w:ascii="Arial" w:hAnsi="Arial" w:cs="Arial"/>
        </w:rPr>
        <w:t xml:space="preserve"> poor outcomes </w:t>
      </w:r>
      <w:r w:rsidR="0058663C">
        <w:rPr>
          <w:rFonts w:ascii="Arial" w:hAnsi="Arial" w:cs="Arial"/>
        </w:rPr>
        <w:t>when infected with COVID-19. This will</w:t>
      </w:r>
      <w:r>
        <w:rPr>
          <w:rFonts w:ascii="Arial" w:hAnsi="Arial" w:cs="Arial"/>
        </w:rPr>
        <w:t xml:space="preserve"> </w:t>
      </w:r>
      <w:r w:rsidR="0058663C">
        <w:rPr>
          <w:rFonts w:ascii="Arial" w:hAnsi="Arial" w:cs="Arial"/>
        </w:rPr>
        <w:t>help to direct</w:t>
      </w:r>
      <w:r>
        <w:rPr>
          <w:rFonts w:ascii="Arial" w:hAnsi="Arial" w:cs="Arial"/>
        </w:rPr>
        <w:t xml:space="preserve"> effective and</w:t>
      </w:r>
      <w:r w:rsidRPr="00D31891">
        <w:rPr>
          <w:rFonts w:ascii="Arial" w:hAnsi="Arial" w:cs="Arial"/>
        </w:rPr>
        <w:t xml:space="preserve"> accelerated</w:t>
      </w:r>
      <w:r>
        <w:rPr>
          <w:rFonts w:ascii="Arial" w:hAnsi="Arial" w:cs="Arial"/>
        </w:rPr>
        <w:t xml:space="preserve"> treatment of </w:t>
      </w:r>
      <w:r w:rsidR="0058663C">
        <w:rPr>
          <w:rFonts w:ascii="Arial" w:hAnsi="Arial" w:cs="Arial"/>
        </w:rPr>
        <w:t>such</w:t>
      </w:r>
      <w:r>
        <w:rPr>
          <w:rFonts w:ascii="Arial" w:hAnsi="Arial" w:cs="Arial"/>
        </w:rPr>
        <w:t xml:space="preserve"> </w:t>
      </w:r>
      <w:r w:rsidRPr="00D31891">
        <w:rPr>
          <w:rFonts w:ascii="Arial" w:hAnsi="Arial" w:cs="Arial"/>
        </w:rPr>
        <w:t>vulnerable patients.</w:t>
      </w:r>
      <w:r>
        <w:rPr>
          <w:rFonts w:ascii="Arial" w:hAnsi="Arial" w:cs="Arial"/>
        </w:rPr>
        <w:t xml:space="preserve"> </w:t>
      </w:r>
    </w:p>
    <w:p w14:paraId="47EC3F62" w14:textId="77777777" w:rsidR="00E61ABC" w:rsidRDefault="0058663C" w:rsidP="00E61ABC">
      <w:pPr>
        <w:spacing w:before="60" w:after="6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How to get involved </w:t>
      </w:r>
    </w:p>
    <w:p w14:paraId="4D48686E" w14:textId="77777777" w:rsidR="0051782F" w:rsidRDefault="00E61ABC" w:rsidP="00E102B0">
      <w:pPr>
        <w:spacing w:before="60" w:after="6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We encourage anyone with an interest in renal medicine or transplantation to get in contact. Multi-centre data collection will be vital to this study. </w:t>
      </w:r>
      <w:r w:rsidR="0058663C" w:rsidRPr="0058663C">
        <w:rPr>
          <w:rFonts w:ascii="Arial" w:hAnsi="Arial" w:cs="Arial"/>
        </w:rPr>
        <w:t xml:space="preserve">Please </w:t>
      </w:r>
      <w:r w:rsidR="0058663C">
        <w:rPr>
          <w:rFonts w:ascii="Arial" w:hAnsi="Arial" w:cs="Arial"/>
        </w:rPr>
        <w:t>email Sushma Shankar (</w:t>
      </w:r>
      <w:hyperlink r:id="rId6" w:history="1">
        <w:r w:rsidR="0058663C" w:rsidRPr="00954314">
          <w:rPr>
            <w:rStyle w:val="Hyperlink"/>
            <w:rFonts w:ascii="Arial" w:hAnsi="Arial" w:cs="Arial"/>
          </w:rPr>
          <w:t>sushma.shankar@nds.ox.ac.uk</w:t>
        </w:r>
      </w:hyperlink>
      <w:r>
        <w:rPr>
          <w:rFonts w:ascii="Arial" w:hAnsi="Arial" w:cs="Arial"/>
        </w:rPr>
        <w:t>).</w:t>
      </w:r>
    </w:p>
    <w:p w14:paraId="6DDB339A" w14:textId="77777777" w:rsidR="00E102B0" w:rsidRPr="00E102B0" w:rsidRDefault="00E102B0" w:rsidP="00E102B0">
      <w:pPr>
        <w:spacing w:before="60" w:after="60" w:line="240" w:lineRule="auto"/>
        <w:rPr>
          <w:rFonts w:ascii="Arial" w:hAnsi="Arial" w:cs="Arial"/>
          <w:b/>
        </w:rPr>
      </w:pPr>
    </w:p>
    <w:p w14:paraId="0D578D84" w14:textId="77777777" w:rsidR="00120672" w:rsidRPr="00924ABF" w:rsidRDefault="00E102B0" w:rsidP="00120672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Primary Objective</w:t>
      </w:r>
    </w:p>
    <w:p w14:paraId="72DCAA16" w14:textId="77777777" w:rsidR="00120672" w:rsidRPr="001D65FA" w:rsidRDefault="00E102B0" w:rsidP="00120672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To identify an immunological signature in COVID-19-infected </w:t>
      </w:r>
      <w:r w:rsidR="00120672" w:rsidRPr="004C751E">
        <w:rPr>
          <w:rFonts w:ascii="Arial" w:hAnsi="Arial" w:cs="Arial"/>
        </w:rPr>
        <w:t>patients with a re</w:t>
      </w:r>
      <w:r w:rsidR="00120672">
        <w:rPr>
          <w:rFonts w:ascii="Arial" w:hAnsi="Arial" w:cs="Arial"/>
        </w:rPr>
        <w:t>nal transplant or haemodialysis</w:t>
      </w:r>
      <w:r w:rsidR="00120672" w:rsidRPr="004C751E">
        <w:rPr>
          <w:rFonts w:ascii="Arial" w:hAnsi="Arial" w:cs="Arial"/>
        </w:rPr>
        <w:t xml:space="preserve"> </w:t>
      </w:r>
      <w:r w:rsidR="001D65FA">
        <w:rPr>
          <w:rFonts w:ascii="Arial" w:hAnsi="Arial" w:cs="Arial"/>
        </w:rPr>
        <w:t>which can be associated with clinical outcome</w:t>
      </w:r>
    </w:p>
    <w:p w14:paraId="1676037C" w14:textId="77777777" w:rsidR="001D65FA" w:rsidRDefault="001D65FA" w:rsidP="000765BE">
      <w:pPr>
        <w:spacing w:before="60" w:after="6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Secondary Objectives</w:t>
      </w:r>
    </w:p>
    <w:p w14:paraId="48705854" w14:textId="77777777" w:rsidR="001D65FA" w:rsidRPr="001D65FA" w:rsidRDefault="001D65FA" w:rsidP="001D65FA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Arial" w:hAnsi="Arial" w:cs="Arial"/>
          <w:b/>
        </w:rPr>
      </w:pPr>
      <w:r>
        <w:rPr>
          <w:rFonts w:ascii="Arial" w:hAnsi="Arial" w:cs="Arial"/>
        </w:rPr>
        <w:t>To monitor the development of protective antibody responses to COVID-19 in association with</w:t>
      </w:r>
      <w:r w:rsidR="0069417B">
        <w:rPr>
          <w:rFonts w:ascii="Arial" w:hAnsi="Arial" w:cs="Arial"/>
        </w:rPr>
        <w:t xml:space="preserve"> clinical outcomes</w:t>
      </w:r>
    </w:p>
    <w:p w14:paraId="18F975C5" w14:textId="77777777" w:rsidR="0069417B" w:rsidRPr="0069417B" w:rsidRDefault="0069417B" w:rsidP="00120672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Arial" w:hAnsi="Arial" w:cs="Arial"/>
          <w:b/>
        </w:rPr>
      </w:pPr>
      <w:r>
        <w:rPr>
          <w:rFonts w:ascii="Arial" w:hAnsi="Arial" w:cs="Arial"/>
        </w:rPr>
        <w:t>To determine the modification of immunosuppression in association with clinical outcome in renal transplant patients with COVID-19</w:t>
      </w:r>
    </w:p>
    <w:p w14:paraId="3527C595" w14:textId="77777777" w:rsidR="0069417B" w:rsidRPr="002979AA" w:rsidRDefault="0069417B" w:rsidP="00120672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To determine the overall survival of </w:t>
      </w:r>
      <w:r w:rsidR="002979AA">
        <w:rPr>
          <w:rFonts w:ascii="Arial" w:hAnsi="Arial" w:cs="Arial"/>
        </w:rPr>
        <w:t xml:space="preserve">COVID-19-infected </w:t>
      </w:r>
      <w:r>
        <w:rPr>
          <w:rFonts w:ascii="Arial" w:hAnsi="Arial" w:cs="Arial"/>
        </w:rPr>
        <w:t>patients with a renal transplant compared to those with haemodialysis</w:t>
      </w:r>
    </w:p>
    <w:p w14:paraId="51D3B5C0" w14:textId="77777777" w:rsidR="002979AA" w:rsidRPr="002979AA" w:rsidRDefault="002979AA" w:rsidP="002979AA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Arial" w:hAnsi="Arial" w:cs="Arial"/>
          <w:b/>
        </w:rPr>
      </w:pPr>
      <w:r>
        <w:rPr>
          <w:rFonts w:ascii="Arial" w:hAnsi="Arial" w:cs="Arial"/>
        </w:rPr>
        <w:t>To determine the use of best supportive care</w:t>
      </w:r>
    </w:p>
    <w:p w14:paraId="41F071AC" w14:textId="77777777" w:rsidR="00120672" w:rsidRDefault="00120672" w:rsidP="000765BE">
      <w:pPr>
        <w:spacing w:before="60" w:after="6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Methodology</w:t>
      </w:r>
    </w:p>
    <w:p w14:paraId="4045B50B" w14:textId="79FB5C7A" w:rsidR="00E102B0" w:rsidRPr="00E102B0" w:rsidRDefault="00E102B0" w:rsidP="00E102B0">
      <w:pPr>
        <w:spacing w:after="0" w:line="240" w:lineRule="auto"/>
        <w:rPr>
          <w:rFonts w:ascii="Arial" w:hAnsi="Arial" w:cs="Arial"/>
          <w:b/>
          <w:color w:val="4F81BD" w:themeColor="accent1"/>
        </w:rPr>
      </w:pPr>
      <w:r w:rsidRPr="005637ED">
        <w:rPr>
          <w:rFonts w:ascii="Arial" w:hAnsi="Arial" w:cs="Arial"/>
          <w:u w:val="single"/>
        </w:rPr>
        <w:t>Clinical Data</w:t>
      </w:r>
      <w:r>
        <w:rPr>
          <w:rFonts w:ascii="Arial" w:hAnsi="Arial" w:cs="Arial"/>
          <w:u w:val="single"/>
        </w:rPr>
        <w:t>:</w:t>
      </w:r>
      <w:r>
        <w:rPr>
          <w:rFonts w:ascii="Arial" w:hAnsi="Arial" w:cs="Arial"/>
          <w:b/>
        </w:rPr>
        <w:t xml:space="preserve"> </w:t>
      </w:r>
      <w:r w:rsidR="005C645B">
        <w:rPr>
          <w:rFonts w:ascii="Arial" w:hAnsi="Arial" w:cs="Arial"/>
        </w:rPr>
        <w:t>Clinical data is being</w:t>
      </w:r>
      <w:bookmarkStart w:id="0" w:name="_GoBack"/>
      <w:bookmarkEnd w:id="0"/>
      <w:r w:rsidRPr="006757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collect</w:t>
      </w:r>
      <w:r w:rsidRPr="0067574D">
        <w:rPr>
          <w:rFonts w:ascii="Arial" w:hAnsi="Arial" w:cs="Arial"/>
        </w:rPr>
        <w:t xml:space="preserve">ed </w:t>
      </w:r>
      <w:r>
        <w:rPr>
          <w:rFonts w:ascii="Arial" w:hAnsi="Arial" w:cs="Arial"/>
        </w:rPr>
        <w:t xml:space="preserve">utilising an </w:t>
      </w:r>
      <w:r w:rsidRPr="0067574D">
        <w:rPr>
          <w:rFonts w:ascii="Arial" w:hAnsi="Arial" w:cs="Arial"/>
        </w:rPr>
        <w:t xml:space="preserve">online </w:t>
      </w:r>
      <w:r w:rsidRPr="0067574D">
        <w:rPr>
          <w:rFonts w:ascii="Arial" w:hAnsi="Arial" w:cs="Arial"/>
          <w:color w:val="272F38"/>
          <w:shd w:val="clear" w:color="auto" w:fill="FFFFFF"/>
        </w:rPr>
        <w:t>REDCap</w:t>
      </w:r>
      <w:r w:rsidRPr="0067574D">
        <w:rPr>
          <w:rFonts w:ascii="Times" w:hAnsi="Times"/>
        </w:rPr>
        <w:t xml:space="preserve"> </w:t>
      </w:r>
      <w:r w:rsidRPr="0067574D">
        <w:rPr>
          <w:rFonts w:ascii="Arial" w:hAnsi="Arial" w:cs="Arial"/>
        </w:rPr>
        <w:t>data platform</w:t>
      </w:r>
      <w:r>
        <w:rPr>
          <w:rFonts w:ascii="Arial" w:hAnsi="Arial" w:cs="Arial"/>
        </w:rPr>
        <w:t xml:space="preserve">. </w:t>
      </w:r>
      <w:r w:rsidRPr="00E102B0">
        <w:rPr>
          <w:rFonts w:ascii="Arial" w:hAnsi="Arial" w:cs="Arial"/>
          <w:b/>
          <w:color w:val="4F81BD" w:themeColor="accent1"/>
        </w:rPr>
        <w:t>Multiple centres can easily contribute to this section of the study.</w:t>
      </w:r>
    </w:p>
    <w:p w14:paraId="4D3F2D81" w14:textId="77777777" w:rsidR="00E102B0" w:rsidRDefault="00E102B0" w:rsidP="00E102B0">
      <w:pPr>
        <w:spacing w:after="0" w:line="240" w:lineRule="auto"/>
        <w:rPr>
          <w:rFonts w:ascii="Arial" w:hAnsi="Arial" w:cs="Arial"/>
        </w:rPr>
      </w:pPr>
    </w:p>
    <w:p w14:paraId="0BC184C9" w14:textId="77777777" w:rsidR="00120672" w:rsidRPr="005637ED" w:rsidRDefault="00120672" w:rsidP="00120672">
      <w:pPr>
        <w:spacing w:before="60" w:after="60" w:line="240" w:lineRule="auto"/>
        <w:rPr>
          <w:rFonts w:ascii="Arial" w:hAnsi="Arial" w:cs="Arial"/>
          <w:u w:val="single"/>
        </w:rPr>
      </w:pPr>
      <w:r w:rsidRPr="005637ED">
        <w:rPr>
          <w:rFonts w:ascii="Arial" w:hAnsi="Arial" w:cs="Arial"/>
          <w:color w:val="000000"/>
          <w:u w:val="single"/>
        </w:rPr>
        <w:t>Blood Samples</w:t>
      </w:r>
      <w:r w:rsidR="00E102B0">
        <w:rPr>
          <w:rFonts w:ascii="Arial" w:hAnsi="Arial" w:cs="Arial"/>
          <w:color w:val="000000"/>
          <w:u w:val="single"/>
        </w:rPr>
        <w:t>:</w:t>
      </w:r>
      <w:r w:rsidR="00E102B0" w:rsidRPr="002979AA">
        <w:rPr>
          <w:rFonts w:ascii="Arial" w:hAnsi="Arial" w:cs="Arial"/>
          <w:color w:val="000000"/>
        </w:rPr>
        <w:t xml:space="preserve"> </w:t>
      </w:r>
      <w:r w:rsidR="00E102B0" w:rsidRPr="00E102B0">
        <w:rPr>
          <w:rFonts w:ascii="Arial" w:hAnsi="Arial" w:cs="Arial"/>
          <w:color w:val="000000"/>
        </w:rPr>
        <w:t>Collected at day 1, 3 and 9 following a COVID-19 positive PCR result</w:t>
      </w:r>
    </w:p>
    <w:p w14:paraId="1A0FBB1C" w14:textId="77777777" w:rsidR="00120672" w:rsidRPr="00F668BC" w:rsidRDefault="002979AA" w:rsidP="00120672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Multiplex</w:t>
      </w:r>
      <w:r w:rsidR="00120672">
        <w:rPr>
          <w:rFonts w:ascii="Arial" w:hAnsi="Arial" w:cs="Arial"/>
        </w:rPr>
        <w:t xml:space="preserve"> assays </w:t>
      </w:r>
      <w:r>
        <w:rPr>
          <w:rFonts w:ascii="Arial" w:hAnsi="Arial" w:cs="Arial"/>
        </w:rPr>
        <w:t>on serum</w:t>
      </w:r>
      <w:r w:rsidR="00120672">
        <w:rPr>
          <w:rFonts w:ascii="Arial" w:hAnsi="Arial" w:cs="Arial"/>
        </w:rPr>
        <w:t xml:space="preserve"> to measure pro-inflammatory cytokines and identify serum biomarkers</w:t>
      </w:r>
    </w:p>
    <w:p w14:paraId="6889DB77" w14:textId="77777777" w:rsidR="00120672" w:rsidRDefault="00120672" w:rsidP="00120672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RNA multiplex analysis</w:t>
      </w:r>
      <w:r w:rsidR="002979AA">
        <w:rPr>
          <w:rFonts w:ascii="Arial" w:hAnsi="Arial" w:cs="Arial"/>
          <w:color w:val="000000"/>
        </w:rPr>
        <w:t xml:space="preserve"> of whole blood</w:t>
      </w:r>
      <w:r>
        <w:rPr>
          <w:rFonts w:ascii="Arial" w:hAnsi="Arial" w:cs="Arial"/>
          <w:color w:val="000000"/>
        </w:rPr>
        <w:t xml:space="preserve"> </w:t>
      </w:r>
      <w:r w:rsidRPr="0067574D">
        <w:rPr>
          <w:rFonts w:ascii="Arial" w:hAnsi="Arial" w:cs="Arial"/>
          <w:color w:val="000000"/>
        </w:rPr>
        <w:t xml:space="preserve">will highlight intracellular </w:t>
      </w:r>
      <w:r>
        <w:rPr>
          <w:rFonts w:ascii="Arial" w:hAnsi="Arial" w:cs="Arial"/>
          <w:color w:val="000000"/>
        </w:rPr>
        <w:t xml:space="preserve">immunological </w:t>
      </w:r>
      <w:r w:rsidRPr="0067574D">
        <w:rPr>
          <w:rFonts w:ascii="Arial" w:hAnsi="Arial" w:cs="Arial"/>
          <w:color w:val="000000"/>
        </w:rPr>
        <w:t>changes in response to COVID-19 infection</w:t>
      </w:r>
      <w:r w:rsidR="002979AA">
        <w:rPr>
          <w:rFonts w:ascii="Arial" w:hAnsi="Arial" w:cs="Arial"/>
          <w:color w:val="000000"/>
        </w:rPr>
        <w:t>, and can</w:t>
      </w:r>
      <w:r w:rsidR="00E102B0">
        <w:rPr>
          <w:rFonts w:ascii="Arial" w:hAnsi="Arial" w:cs="Arial"/>
          <w:color w:val="000000"/>
        </w:rPr>
        <w:t xml:space="preserve"> track viral load</w:t>
      </w:r>
      <w:r>
        <w:rPr>
          <w:rFonts w:ascii="Arial" w:hAnsi="Arial" w:cs="Arial"/>
          <w:color w:val="000000"/>
        </w:rPr>
        <w:t>.</w:t>
      </w:r>
      <w:r w:rsidRPr="0067574D">
        <w:rPr>
          <w:rFonts w:ascii="Arial" w:hAnsi="Arial" w:cs="Arial"/>
          <w:color w:val="000000"/>
        </w:rPr>
        <w:t xml:space="preserve"> </w:t>
      </w:r>
    </w:p>
    <w:p w14:paraId="0BB54A36" w14:textId="77777777" w:rsidR="00120672" w:rsidRPr="00630ED4" w:rsidRDefault="00630ED4" w:rsidP="00120672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</w:rPr>
      </w:pPr>
      <w:r w:rsidRPr="00630ED4">
        <w:rPr>
          <w:rFonts w:ascii="Arial" w:hAnsi="Arial" w:cs="Arial"/>
          <w:color w:val="000000"/>
        </w:rPr>
        <w:t>ELISA-assessment</w:t>
      </w:r>
      <w:r w:rsidR="00120672" w:rsidRPr="00630ED4">
        <w:rPr>
          <w:rFonts w:ascii="Arial" w:hAnsi="Arial" w:cs="Arial"/>
          <w:color w:val="000000"/>
        </w:rPr>
        <w:t xml:space="preserve"> of COVID-19-specific IgM and IgG serum levels </w:t>
      </w:r>
    </w:p>
    <w:sectPr w:rsidR="00120672" w:rsidRPr="00630ED4" w:rsidSect="00120672">
      <w:pgSz w:w="11900" w:h="16840"/>
      <w:pgMar w:top="1361" w:right="1361" w:bottom="1361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84D4F"/>
    <w:multiLevelType w:val="hybridMultilevel"/>
    <w:tmpl w:val="31503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687561"/>
    <w:multiLevelType w:val="hybridMultilevel"/>
    <w:tmpl w:val="D2EA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672"/>
    <w:rsid w:val="000765BE"/>
    <w:rsid w:val="00120672"/>
    <w:rsid w:val="001D65FA"/>
    <w:rsid w:val="002979AA"/>
    <w:rsid w:val="0051782F"/>
    <w:rsid w:val="0055484C"/>
    <w:rsid w:val="0058663C"/>
    <w:rsid w:val="005C645B"/>
    <w:rsid w:val="00630ED4"/>
    <w:rsid w:val="0069417B"/>
    <w:rsid w:val="00785FCF"/>
    <w:rsid w:val="00CF25EA"/>
    <w:rsid w:val="00E102B0"/>
    <w:rsid w:val="00E6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F295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672"/>
    <w:pPr>
      <w:spacing w:after="200" w:line="276" w:lineRule="auto"/>
    </w:pPr>
    <w:rPr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120672"/>
    <w:pPr>
      <w:ind w:left="720"/>
      <w:contextualSpacing/>
    </w:pPr>
  </w:style>
  <w:style w:type="table" w:styleId="TableGrid">
    <w:name w:val="Table Grid"/>
    <w:basedOn w:val="TableNormal"/>
    <w:uiPriority w:val="39"/>
    <w:rsid w:val="0012067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866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672"/>
    <w:pPr>
      <w:spacing w:after="200" w:line="276" w:lineRule="auto"/>
    </w:pPr>
    <w:rPr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120672"/>
    <w:pPr>
      <w:ind w:left="720"/>
      <w:contextualSpacing/>
    </w:pPr>
  </w:style>
  <w:style w:type="table" w:styleId="TableGrid">
    <w:name w:val="Table Grid"/>
    <w:basedOn w:val="TableNormal"/>
    <w:uiPriority w:val="39"/>
    <w:rsid w:val="0012067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86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ushma.shankar@nds.ox.ac.u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420</Words>
  <Characters>2398</Characters>
  <Application>Microsoft Macintosh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Sushma Shankar</dc:creator>
  <cp:keywords/>
  <dc:description/>
  <cp:lastModifiedBy>Sushma Shankar</cp:lastModifiedBy>
  <cp:revision>6</cp:revision>
  <dcterms:created xsi:type="dcterms:W3CDTF">2020-05-01T10:37:00Z</dcterms:created>
  <dcterms:modified xsi:type="dcterms:W3CDTF">2020-05-07T17:16:00Z</dcterms:modified>
</cp:coreProperties>
</file>